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Suivi du déplacement d’articles stockés</w:t>
      </w:r>
    </w:p>
    <w:p>
      <w:pPr>
        <w:spacing w:after="200"/>
      </w:pPr>
      <w:r>
        <w:rPr>
          <w:rFonts w:ascii="Arial" w:hAnsi="Arial" w:cs="Arial"/>
          <w:color w:val="5F6B76"/>
          <w:sz w:val="20"/>
        </w:rPr>
        <w:t xml:space="preserve">Suivez un transfert entre lieux de stockage pour préserver la traçabilité.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klarstig.ai/fr/templates/independent-bookshop-stored-item-relocation-tl-05411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https://klarstig.ai/fr/templates/independent-bookshop-stored-item-relocation-tl-05411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stored-item-relocation-tl-054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stored-item-relocation-tl-05411" TargetMode="External"/></Relationships>
</file>

<file path=docProps/core.xml><?xml version="1.0" encoding="utf-8"?>
<cp:coreProperties xmlns:cp="http://schemas.openxmlformats.org/package/2006/metadata/core-properties" xmlns:dc="http://purl.org/dc/elements/1.1/">
  <dc:title>Librairie indépendante — Suivi du déplacement d’articles stockés</dc:title>
  <dc:creator>Klarstig</dc:creator>
  <dc:language>fr</dc:language>
</cp:coreProperties>
</file>