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Fiche de reprogrammation d’activité</w:t>
      </w:r>
    </w:p>
    <w:p>
      <w:pPr>
        <w:spacing w:after="200"/>
      </w:pPr>
      <w:r>
        <w:rPr>
          <w:rFonts w:ascii="Arial" w:hAnsi="Arial" w:cs="Arial"/>
          <w:color w:val="5F6B76"/>
          <w:sz w:val="20"/>
        </w:rPr>
        <w:t xml:space="preserve">Recueillez les contraintes à résoudre avant de déplacer une activité.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klarstig.ai/fr/templates/kayak-rental-base-activity-rescheduling-brief-tl-03890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https://klarstig.ai/fr/templates/kayak-rental-base-activity-rescheduling-brief-tl-03890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activity-rescheduling-brief-tl-038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activity-rescheduling-brief-tl-03890" TargetMode="External"/></Relationships>
</file>

<file path=docProps/core.xml><?xml version="1.0" encoding="utf-8"?>
<cp:coreProperties xmlns:cp="http://schemas.openxmlformats.org/package/2006/metadata/core-properties" xmlns:dc="http://purl.org/dc/elements/1.1/">
  <dc:title>Base de location de kayaks — Fiche de reprogrammation d’activité</dc:title>
  <dc:creator>Klarstig</dc:creator>
  <dc:language>fr</dc:language>
</cp:coreProperties>
</file>