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klarstig.ai/fr/templates/music-rehearsal-rooms-shared-resource-conflict-resolution-tl-04287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https://klarstig.ai/fr/templates/music-rehearsal-rooms-shared-resource-conflict-resolution-tl-04287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shared-resource-conflict-resolution-tl-042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shared-resource-conflict-resolution-tl-04287" TargetMode="External"/></Relationships>
</file>

<file path=docProps/core.xml><?xml version="1.0" encoding="utf-8"?>
<cp:coreProperties xmlns:cp="http://schemas.openxmlformats.org/package/2006/metadata/core-properties" xmlns:dc="http://purl.org/dc/elements/1.1/">
  <dc:title>Salles de répétition musicale — Résolution d’un conflit de ressources</dc:title>
  <dc:creator>Klarstig</dc:creator>
  <dc:language>fr</dc:language>
</cp:coreProperties>
</file>