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Évaluation du parcours d’orientation</w:t>
      </w:r>
    </w:p>
    <w:p>
      <w:pPr>
        <w:spacing w:after="200"/>
      </w:pPr>
      <w:r>
        <w:rPr>
          <w:rFonts w:ascii="Arial" w:hAnsi="Arial" w:cs="Arial"/>
          <w:color w:val="5F6B76"/>
          <w:sz w:val="20"/>
        </w:rPr>
        <w:t xml:space="preserve">Repérez les points où les visiteurs se perdent et les indications à améliorer.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klarstig.ai/fr/templates/music-rehearsal-rooms-visitor-wayfinding-walkthrough-tl-03637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https://klarstig.ai/fr/templates/music-rehearsal-rooms-visitor-wayfinding-walkthrough-tl-03637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visitor-wayfinding-walkthrough-tl-036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visitor-wayfinding-walkthrough-tl-03637" TargetMode="External"/></Relationships>
</file>

<file path=docProps/core.xml><?xml version="1.0" encoding="utf-8"?>
<cp:coreProperties xmlns:cp="http://schemas.openxmlformats.org/package/2006/metadata/core-properties" xmlns:dc="http://purl.org/dc/elements/1.1/">
  <dc:title>Salles de répétition musicale — Évaluation du parcours d’orientation</dc:title>
  <dc:creator>Klarstig</dc:creator>
  <dc:language>fr</dc:language>
</cp:coreProperties>
</file>