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Analyse d’une file d’attente saturée</w:t>
      </w:r>
    </w:p>
    <w:p>
      <w:pPr>
        <w:spacing w:after="200"/>
      </w:pPr>
      <w:r>
        <w:rPr>
          <w:rFonts w:ascii="Arial" w:hAnsi="Arial" w:cs="Arial"/>
          <w:color w:val="5F6B76"/>
          <w:sz w:val="20"/>
        </w:rPr>
        <w:t xml:space="preserve">Consignez les moments de saturation et les facteurs ayant affecté la file d’attente.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klarstig.ai/fr/templates/picture-framing-shop-queue-overflow-review-tl-03798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https://klarstig.ai/fr/templates/picture-framing-shop-queue-overflow-review-tl-03798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queue-overflow-review-tl-037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queue-overflow-review-tl-03798" TargetMode="External"/></Relationships>
</file>

<file path=docProps/core.xml><?xml version="1.0" encoding="utf-8"?>
<cp:coreProperties xmlns:cp="http://schemas.openxmlformats.org/package/2006/metadata/core-properties" xmlns:dc="http://purl.org/dc/elements/1.1/">
  <dc:title>Atelier d’encadrement — Analyse d’une file d’attente saturée</dc:title>
  <dc:creator>Klarstig</dc:creator>
  <dc:language>fr</dc:language>
</cp:coreProperties>
</file>