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Fiche de reprogrammation d’activité</w:t>
      </w:r>
    </w:p>
    <w:p>
      <w:pPr>
        <w:spacing w:after="200"/>
      </w:pPr>
      <w:r>
        <w:rPr>
          <w:rFonts w:ascii="Arial" w:hAnsi="Arial" w:cs="Arial"/>
          <w:color w:val="5F6B76"/>
          <w:sz w:val="20"/>
        </w:rPr>
        <w:t xml:space="preserve">Recueillez les contraintes à résoudre avant de déplacer une activité.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klarstig.ai/fr/templates/pottery-studio-activity-rescheduling-brief-tl-03870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https://klarstig.ai/fr/templates/pottery-studio-activity-rescheduling-brief-tl-03870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activity-rescheduling-brief-tl-038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activity-rescheduling-brief-tl-03870" TargetMode="External"/></Relationships>
</file>

<file path=docProps/core.xml><?xml version="1.0" encoding="utf-8"?>
<cp:coreProperties xmlns:cp="http://schemas.openxmlformats.org/package/2006/metadata/core-properties" xmlns:dc="http://purl.org/dc/elements/1.1/">
  <dc:title>Atelier de poterie — Fiche de reprogrammation d’activité</dc:title>
  <dc:creator>Klarstig</dc:creator>
  <dc:language>fr</dc:language>
</cp:coreProperties>
</file>