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poterie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Atelier de poterie.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poterie</w:t>
      </w:r>
    </w:p>
    <w:p>
      <w:pPr>
        <w:spacing w:after="40"/>
      </w:pPr>
      <w:r>
        <w:rPr>
          <w:rFonts w:ascii="Arial" w:hAnsi="Arial" w:cs="Arial"/>
          <w:b/>
          <w:color w:val="173247"/>
          <w:sz w:val="21"/>
        </w:rPr>
        <w:t xml:space="preserve">Séance d’atelier et référence d’étagère ou de fournée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Terre, groupe d’émaux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séchage, calendrier de cuisson ou étiquette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klarstig.ai/fr/templates/pottery-studio-backlog-clearing-plan-tl-04370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poterie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https://klarstig.ai/fr/templates/pottery-studio-backlog-clearing-plan-tl-04370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ottery-studio-backlog-clearing-plan-tl-0437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ottery-studio-backlog-clearing-plan-tl-04370" TargetMode="External"/></Relationships>
</file>

<file path=docProps/core.xml><?xml version="1.0" encoding="utf-8"?>
<cp:coreProperties xmlns:cp="http://schemas.openxmlformats.org/package/2006/metadata/core-properties" xmlns:dc="http://purl.org/dc/elements/1.1/">
  <dc:title>Atelier de poterie — Plan de résorption des tâches en attente</dc:title>
  <dc:creator>Klarstig</dc:creator>
  <dc:language>fr</dc:language>
</cp:coreProperties>
</file>