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clarification d’une procédure</w:t>
      </w:r>
    </w:p>
    <w:p>
      <w:pPr>
        <w:spacing w:after="200"/>
      </w:pPr>
      <w:r>
        <w:rPr>
          <w:rFonts w:ascii="Arial" w:hAnsi="Arial" w:cs="Arial"/>
          <w:color w:val="5F6B76"/>
          <w:sz w:val="20"/>
        </w:rPr>
        <w:t xml:space="preserve">Repérez une consigne ambiguë et l’exemple nécessaire à sa compréhension.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klarstig.ai/fr/templates/public-garden-procedure-clarification-request-tl-04754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https://klarstig.ai/fr/templates/public-garden-procedure-clarification-request-tl-04754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procedure-clarification-request-tl-047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procedure-clarification-request-tl-04754" TargetMode="External"/></Relationships>
</file>

<file path=docProps/core.xml><?xml version="1.0" encoding="utf-8"?>
<cp:coreProperties xmlns:cp="http://schemas.openxmlformats.org/package/2006/metadata/core-properties" xmlns:dc="http://purl.org/dc/elements/1.1/">
  <dc:title>Jardin ouvert au public — Demande de clarification d’une procédure</dc:title>
  <dc:creator>Klarstig</dc:creator>
  <dc:language>fr</dc:language>
</cp:coreProperties>
</file>