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Suivi d’un engagement fournisseur</w:t>
      </w:r>
    </w:p>
    <w:p>
      <w:pPr>
        <w:spacing w:after="200"/>
      </w:pPr>
      <w:r>
        <w:rPr>
          <w:rFonts w:ascii="Arial" w:hAnsi="Arial" w:cs="Arial"/>
          <w:color w:val="5F6B76"/>
          <w:sz w:val="20"/>
        </w:rPr>
        <w:t xml:space="preserve">Comparez un engagement fournisseur à la réponse ou livraison reçue.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klarstig.ai/fr/templates/public-garden-supplier-commitment-follow-up-tl-04554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https://klarstig.ai/fr/templates/public-garden-supplier-commitment-follow-up-tl-04554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upplier-commitment-follow-up-tl-045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upplier-commitment-follow-up-tl-04554" TargetMode="External"/></Relationships>
</file>

<file path=docProps/core.xml><?xml version="1.0" encoding="utf-8"?>
<cp:coreProperties xmlns:cp="http://schemas.openxmlformats.org/package/2006/metadata/core-properties" xmlns:dc="http://purl.org/dc/elements/1.1/">
  <dc:title>Jardin ouvert au public — Suivi d’un engagement fournisseur</dc:title>
  <dc:creator>Klarstig</dc:creator>
  <dc:language>fr</dc:language>
</cp:coreProperties>
</file>