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Vérification avant ouverture</w:t>
      </w:r>
    </w:p>
    <w:p>
      <w:pPr>
        <w:spacing w:after="200"/>
      </w:pPr>
      <w:r>
        <w:rPr>
          <w:rFonts w:ascii="Arial" w:hAnsi="Arial" w:cs="Arial"/>
          <w:color w:val="5F6B76"/>
          <w:sz w:val="20"/>
        </w:rPr>
        <w:t xml:space="preserve">Identifiez les préparatifs nécessaires avant l’ouverture et les points non résolus.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klarstig.ai/fr/templates/reuse-shop-opening-readiness-check-tl-03057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https://klarstig.ai/fr/templates/reuse-shop-opening-readiness-check-tl-03057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opening-readiness-check-tl-030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opening-readiness-check-tl-03057" TargetMode="External"/></Relationships>
</file>

<file path=docProps/core.xml><?xml version="1.0" encoding="utf-8"?>
<cp:coreProperties xmlns:cp="http://schemas.openxmlformats.org/package/2006/metadata/core-properties" xmlns:dc="http://purl.org/dc/elements/1.1/">
  <dc:title>Boutique de réemploi — Vérification avant ouverture</dc:title>
  <dc:creator>Klarstig</dc:creator>
  <dc:language>fr</dc:language>
</cp:coreProperties>
</file>