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Compte rendu de relève</w:t>
      </w:r>
    </w:p>
    <w:p>
      <w:pPr>
        <w:spacing w:after="200"/>
      </w:pPr>
      <w:r>
        <w:rPr>
          <w:rFonts w:ascii="Arial" w:hAnsi="Arial" w:cs="Arial"/>
          <w:color w:val="5F6B76"/>
          <w:sz w:val="20"/>
        </w:rPr>
        <w:t xml:space="preserve">Consignez le travail inachevé et les consignes nécessaires à l’équipe suivante.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klarstig.ai/fr/templates/reuse-shop-shift-handover-record-tl-03007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https://klarstig.ai/fr/templates/reuse-shop-shift-handover-record-tl-03007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shift-handover-record-tl-030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shift-handover-record-tl-03007" TargetMode="External"/></Relationships>
</file>

<file path=docProps/core.xml><?xml version="1.0" encoding="utf-8"?>
<cp:coreProperties xmlns:cp="http://schemas.openxmlformats.org/package/2006/metadata/core-properties" xmlns:dc="http://purl.org/dc/elements/1.1/">
  <dc:title>Boutique de réemploi — Compte rendu de relève</dc:title>
  <dc:creator>Klarstig</dc:creator>
  <dc:language>fr</dc:language>
</cp:coreProperties>
</file>