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Contrôle avant retrait</w:t>
      </w:r>
    </w:p>
    <w:p>
      <w:pPr>
        <w:spacing w:after="200"/>
      </w:pPr>
      <w:r>
        <w:rPr>
          <w:rFonts w:ascii="Arial" w:hAnsi="Arial" w:cs="Arial"/>
          <w:color w:val="5F6B76"/>
          <w:sz w:val="20"/>
        </w:rPr>
        <w:t xml:space="preserve">Vérifiez qu’un retrait est complet, étiqueté et prêt pour la remise prévue.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klarstig.ai/fr/templates/shoe-repair-shop-collection-readiness-check-tl-04085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https://klarstig.ai/fr/templates/shoe-repair-shop-collection-readiness-check-tl-04085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collection-readiness-check-tl-040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collection-readiness-check-tl-04085" TargetMode="External"/></Relationships>
</file>

<file path=docProps/core.xml><?xml version="1.0" encoding="utf-8"?>
<cp:coreProperties xmlns:cp="http://schemas.openxmlformats.org/package/2006/metadata/core-properties" xmlns:dc="http://purl.org/dc/elements/1.1/">
  <dc:title>Atelier de cordonnerie — Contrôle avant retrait</dc:title>
  <dc:creator>Klarstig</dc:creator>
  <dc:language>fr</dc:language>
</cp:coreProperties>
</file>