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klarstig.ai/fr/templates/shoe-repair-shop-shared-resource-conflict-resolution-tl-04285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https://klarstig.ai/fr/templates/shoe-repair-shop-shared-resource-conflict-resolution-tl-04285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shared-resource-conflict-resolution-tl-042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shared-resource-conflict-resolution-tl-04285" TargetMode="External"/></Relationships>
</file>

<file path=docProps/core.xml><?xml version="1.0" encoding="utf-8"?>
<cp:coreProperties xmlns:cp="http://schemas.openxmlformats.org/package/2006/metadata/core-properties" xmlns:dc="http://purl.org/dc/elements/1.1/">
  <dc:title>Atelier de cordonnerie — Résolution d’un conflit de ressources</dc:title>
  <dc:creator>Klarstig</dc:creator>
  <dc:language>fr</dc:language>
</cp:coreProperties>
</file>