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renfort de remplacement</w:t>
      </w:r>
    </w:p>
    <w:p>
      <w:pPr>
        <w:spacing w:after="200"/>
      </w:pPr>
      <w:r>
        <w:rPr>
          <w:rFonts w:ascii="Arial" w:hAnsi="Arial" w:cs="Arial"/>
          <w:color w:val="5F6B76"/>
          <w:sz w:val="20"/>
        </w:rPr>
        <w:t xml:space="preserve">Décrivez une tâche sans couverture et la préparation nécessaire au remplaçant.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klarstig.ai/fr/templates/textile-craft-collective-backup-coverage-request-tl-04696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https://klarstig.ai/fr/templates/textile-craft-collective-backup-coverage-request-tl-04696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backup-coverage-request-tl-046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backup-coverage-request-tl-04696" TargetMode="External"/></Relationships>
</file>

<file path=docProps/core.xml><?xml version="1.0" encoding="utf-8"?>
<cp:coreProperties xmlns:cp="http://schemas.openxmlformats.org/package/2006/metadata/core-properties" xmlns:dc="http://purl.org/dc/elements/1.1/">
  <dc:title>Collectif de création textile — Demande de renfort de remplacement</dc:title>
  <dc:creator>Klarstig</dc:creator>
  <dc:language>fr</dc:language>
</cp:coreProperties>
</file>