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Organisation d’une arrivée tardive</w:t>
      </w:r>
    </w:p>
    <w:p>
      <w:pPr>
        <w:spacing w:after="200"/>
      </w:pPr>
      <w:r>
        <w:rPr>
          <w:rFonts w:ascii="Arial" w:hAnsi="Arial" w:cs="Arial"/>
          <w:color w:val="5F6B76"/>
          <w:sz w:val="20"/>
        </w:rPr>
        <w:t xml:space="preserve">Consignez une arrivée tardive prévue et les dispositions nécessaires à son accueil.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klarstig.ai/fr/templates/tool-lending-library-late-arrival-coordination-tl-03936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https://klarstig.ai/fr/templates/tool-lending-library-late-arrival-coordination-tl-03936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late-arrival-coordination-tl-039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late-arrival-coordination-tl-03936" TargetMode="External"/></Relationships>
</file>

<file path=docProps/core.xml><?xml version="1.0" encoding="utf-8"?>
<cp:coreProperties xmlns:cp="http://schemas.openxmlformats.org/package/2006/metadata/core-properties" xmlns:dc="http://purl.org/dc/elements/1.1/">
  <dc:title>Bibliothèque d’outils — Organisation d’une arrivée tardive</dc:title>
  <dc:creator>Klarstig</dc:creator>
  <dc:language>fr</dc:language>
</cp:coreProperties>
</file>