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klarstig.ai/fr/templates/tool-lending-library-unused-slot-reallocation-tl-03836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https://klarstig.ai/fr/templates/tool-lending-library-unused-slot-reallocation-tl-03836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unused-slot-reallocation-tl-038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unused-slot-reallocation-tl-03836" TargetMode="External"/></Relationships>
</file>

<file path=docProps/core.xml><?xml version="1.0" encoding="utf-8"?>
<cp:coreProperties xmlns:cp="http://schemas.openxmlformats.org/package/2006/metadata/core-properties" xmlns:dc="http://purl.org/dc/elements/1.1/">
  <dc:title>Bibliothèque d’outils — Réaffectation d’un créneau inutilisé</dc:title>
  <dc:creator>Klarstig</dc:creator>
  <dc:language>fr</dc:language>
</cp:coreProperties>
</file>