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Qualification d’une panne de matériel</w:t>
      </w:r>
    </w:p>
    <w:p>
      <w:pPr>
        <w:spacing w:after="200"/>
      </w:pPr>
      <w:r>
        <w:rPr>
          <w:rFonts w:ascii="Arial" w:hAnsi="Arial" w:cs="Arial"/>
          <w:color w:val="5F6B76"/>
          <w:sz w:val="20"/>
        </w:rPr>
        <w:t xml:space="preserve">Décrivez les problèmes observables et leur impact avant d’attribuer une réparation.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klarstig.ai/fr/templates/volunteer-coordination-hub-equipment-fault-triage-tl-03356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https://klarstig.ai/fr/templates/volunteer-coordination-hub-equipment-fault-triage-tl-03356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equipment-fault-triage-tl-0335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equipment-fault-triage-tl-03356" TargetMode="External"/></Relationships>
</file>

<file path=docProps/core.xml><?xml version="1.0" encoding="utf-8"?>
<cp:coreProperties xmlns:cp="http://schemas.openxmlformats.org/package/2006/metadata/core-properties" xmlns:dc="http://purl.org/dc/elements/1.1/">
  <dc:title>Centre de coordination bénévole — Qualification d’une panne de matériel</dc:title>
  <dc:creator>Klarstig</dc:creator>
  <dc:language>fr</dc:language>
</cp:coreProperties>
</file>